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275216">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275216">
            <w:pPr>
              <w:spacing w:before="12" w:after="12"/>
              <w:jc w:val="right"/>
              <w:rPr>
                <w:b/>
                <w:sz w:val="20"/>
                <w:szCs w:val="20"/>
              </w:rPr>
            </w:pPr>
            <w:r w:rsidRPr="007B4368">
              <w:rPr>
                <w:b/>
                <w:sz w:val="20"/>
                <w:szCs w:val="20"/>
              </w:rPr>
              <w:t>Eignungsprüfung</w:t>
            </w:r>
            <w:r w:rsidR="00981951">
              <w:rPr>
                <w:b/>
                <w:sz w:val="20"/>
                <w:szCs w:val="20"/>
              </w:rPr>
              <w:t xml:space="preserve"> </w:t>
            </w:r>
            <w:r w:rsidR="00981951">
              <w:rPr>
                <w:b/>
                <w:sz w:val="20"/>
                <w:szCs w:val="20"/>
              </w:rPr>
              <w:t>Fachübersetzen</w:t>
            </w:r>
          </w:p>
        </w:tc>
      </w:tr>
      <w:tr w:rsidR="007B4368" w:rsidRPr="00774A56" w:rsidTr="00275216">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5E4A8E" w:rsidRDefault="00981951" w:rsidP="00612AD8">
                <w:pPr>
                  <w:spacing w:before="12" w:after="12"/>
                  <w:rPr>
                    <w:b/>
                    <w:sz w:val="20"/>
                    <w:szCs w:val="20"/>
                    <w:lang w:val="it-IT"/>
                  </w:rPr>
                </w:pPr>
                <w:r>
                  <w:rPr>
                    <w:b/>
                    <w:sz w:val="20"/>
                    <w:szCs w:val="20"/>
                    <w:highlight w:val="lightGray"/>
                    <w:lang w:val="it-IT"/>
                  </w:rPr>
                  <w:t>ENG–</w:t>
                </w:r>
                <w:r w:rsidR="00612AD8">
                  <w:rPr>
                    <w:b/>
                    <w:sz w:val="20"/>
                    <w:szCs w:val="20"/>
                    <w:highlight w:val="lightGray"/>
                    <w:lang w:val="it-IT"/>
                  </w:rPr>
                  <w:t>FRA</w:t>
                </w:r>
              </w:p>
            </w:tc>
          </w:sdtContent>
        </w:sdt>
        <w:tc>
          <w:tcPr>
            <w:tcW w:w="4536" w:type="dxa"/>
            <w:gridSpan w:val="2"/>
            <w:shd w:val="clear" w:color="auto" w:fill="auto"/>
          </w:tcPr>
          <w:p w:rsidR="007B4368" w:rsidRPr="007B4368" w:rsidRDefault="008E5900" w:rsidP="00612AD8">
            <w:pPr>
              <w:jc w:val="right"/>
              <w:rPr>
                <w:b/>
                <w:sz w:val="20"/>
                <w:szCs w:val="20"/>
              </w:rPr>
            </w:pPr>
            <w:sdt>
              <w:sdtPr>
                <w:rPr>
                  <w:b/>
                  <w:sz w:val="20"/>
                  <w:szCs w:val="20"/>
                  <w:highlight w:val="lightGray"/>
                  <w:lang w:val="it-IT"/>
                </w:rPr>
                <w:id w:val="1030838937"/>
                <w:placeholder>
                  <w:docPart w:val="33350E5F5D9947B2A6A663DAA90C2B64"/>
                </w:placeholder>
              </w:sdtPr>
              <w:sdtEndPr/>
              <w:sdtContent>
                <w:r w:rsidR="00C95650">
                  <w:rPr>
                    <w:b/>
                    <w:sz w:val="20"/>
                    <w:szCs w:val="20"/>
                    <w:highlight w:val="lightGray"/>
                    <w:lang w:val="it-IT"/>
                  </w:rPr>
                  <w:t>B/C–</w:t>
                </w:r>
                <w:r w:rsidR="00612AD8">
                  <w:rPr>
                    <w:b/>
                    <w:sz w:val="20"/>
                    <w:szCs w:val="20"/>
                    <w:highlight w:val="lightGray"/>
                    <w:lang w:val="it-IT"/>
                  </w:rPr>
                  <w:t>A</w:t>
                </w:r>
              </w:sdtContent>
            </w:sdt>
          </w:p>
        </w:tc>
      </w:tr>
    </w:tbl>
    <w:p w:rsidR="007B4368" w:rsidRDefault="007B4368" w:rsidP="007B4368">
      <w:pPr>
        <w:pStyle w:val="Kopfzeile"/>
      </w:pPr>
      <w:bookmarkStart w:id="0" w:name="_GoBack"/>
      <w:bookmarkEnd w:id="0"/>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Pr="00BC2900" w:rsidRDefault="00DB7179" w:rsidP="00045A95">
      <w:pPr>
        <w:tabs>
          <w:tab w:val="left" w:pos="2268"/>
        </w:tabs>
        <w:spacing w:before="60" w:after="40"/>
      </w:pPr>
      <w:r w:rsidRPr="00BC2900">
        <w:t>Erscheinungsort:</w:t>
      </w:r>
      <w:r w:rsidR="00BC2900" w:rsidRPr="00BC2900">
        <w:t xml:space="preserve"> </w:t>
      </w:r>
      <w:r w:rsidR="00011F15" w:rsidRPr="00BC2900">
        <w:t>www.stwr.org</w:t>
      </w:r>
      <w:r w:rsidR="00045A95" w:rsidRPr="00BC2900">
        <w:tab/>
      </w:r>
    </w:p>
    <w:p w:rsidR="00DB7179" w:rsidRPr="00BC2900" w:rsidRDefault="00DB7179" w:rsidP="00045A95">
      <w:pPr>
        <w:tabs>
          <w:tab w:val="left" w:pos="2268"/>
        </w:tabs>
        <w:spacing w:before="60" w:after="40"/>
      </w:pPr>
      <w:r w:rsidRPr="00BC2900">
        <w:t>Erscheinungsdatum:</w:t>
      </w:r>
      <w:r w:rsidR="00BC2900" w:rsidRPr="00BC2900">
        <w:t xml:space="preserve"> </w:t>
      </w:r>
      <w:proofErr w:type="spellStart"/>
      <w:r w:rsidR="00BC2900">
        <w:t>j</w:t>
      </w:r>
      <w:r w:rsidR="00BC2900" w:rsidRPr="00BC2900">
        <w:t>uillet</w:t>
      </w:r>
      <w:proofErr w:type="spellEnd"/>
      <w:r w:rsidR="00BC2900" w:rsidRPr="00BC2900">
        <w:t xml:space="preserve"> 2010</w:t>
      </w:r>
      <w:r w:rsidR="00045A95" w:rsidRPr="00BC2900">
        <w:tab/>
      </w:r>
    </w:p>
    <w:p w:rsidR="00DB7179" w:rsidRDefault="00DB7179" w:rsidP="00045A95">
      <w:pPr>
        <w:tabs>
          <w:tab w:val="left" w:pos="2268"/>
          <w:tab w:val="left" w:pos="5955"/>
        </w:tabs>
        <w:spacing w:before="60" w:after="40"/>
      </w:pPr>
      <w:r>
        <w:t>Zielgruppe:</w:t>
      </w:r>
      <w:r w:rsidR="00BC2900">
        <w:t xml:space="preserve"> </w:t>
      </w:r>
      <w:proofErr w:type="spellStart"/>
      <w:r w:rsidR="00BC2900">
        <w:t>lecteurs</w:t>
      </w:r>
      <w:proofErr w:type="spellEnd"/>
      <w:r w:rsidR="00BC2900">
        <w:t xml:space="preserve"> du </w:t>
      </w:r>
      <w:r w:rsidR="00BC2900" w:rsidRPr="00BC2900">
        <w:rPr>
          <w:i/>
        </w:rPr>
        <w:t>Guardian</w:t>
      </w:r>
      <w:r w:rsidR="00045A95">
        <w:tab/>
      </w:r>
    </w:p>
    <w:p w:rsidR="00DB7179" w:rsidRDefault="00DB7179" w:rsidP="00045A95">
      <w:pPr>
        <w:tabs>
          <w:tab w:val="left" w:pos="2268"/>
        </w:tabs>
        <w:spacing w:before="60" w:after="40"/>
      </w:pPr>
      <w:r>
        <w:t>Anzahl Wörter:</w:t>
      </w:r>
      <w:r w:rsidR="00474A42">
        <w:t xml:space="preserve"> </w:t>
      </w:r>
      <w:r w:rsidR="00B37A08">
        <w:t>285</w:t>
      </w:r>
      <w:r w:rsidR="003533B0">
        <w:t xml:space="preserve"> mots</w:t>
      </w:r>
      <w:r w:rsidR="00045A95">
        <w:tab/>
      </w:r>
    </w:p>
    <w:p w:rsidR="00DB7179"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Default="00DB7179" w:rsidP="00045A95">
      <w:pPr>
        <w:tabs>
          <w:tab w:val="left" w:pos="2268"/>
        </w:tabs>
        <w:spacing w:before="60" w:after="40"/>
      </w:pPr>
      <w:r>
        <w:t>Erscheinungsort:</w:t>
      </w:r>
      <w:r w:rsidR="00BC2900">
        <w:t xml:space="preserve"> </w:t>
      </w:r>
      <w:proofErr w:type="spellStart"/>
      <w:r w:rsidR="00BC2900">
        <w:t>site</w:t>
      </w:r>
      <w:proofErr w:type="spellEnd"/>
      <w:r w:rsidR="00BC2900">
        <w:t xml:space="preserve"> </w:t>
      </w:r>
      <w:proofErr w:type="spellStart"/>
      <w:r w:rsidR="00BC2900">
        <w:t>francophone</w:t>
      </w:r>
      <w:proofErr w:type="spellEnd"/>
      <w:r w:rsidR="00BC2900">
        <w:t xml:space="preserve"> </w:t>
      </w:r>
      <w:proofErr w:type="spellStart"/>
      <w:r w:rsidR="00BC2900">
        <w:t>équivalent</w:t>
      </w:r>
      <w:proofErr w:type="spellEnd"/>
      <w:r w:rsidR="00045A95">
        <w:tab/>
      </w:r>
    </w:p>
    <w:p w:rsidR="00DB7179" w:rsidRDefault="00DB7179" w:rsidP="00045A95">
      <w:pPr>
        <w:tabs>
          <w:tab w:val="left" w:pos="2268"/>
        </w:tabs>
        <w:spacing w:before="60" w:after="40"/>
      </w:pPr>
      <w:r>
        <w:t>Erscheinungsdatum:</w:t>
      </w:r>
      <w:r w:rsidR="004C5DC7">
        <w:t xml:space="preserve"> </w:t>
      </w:r>
      <w:proofErr w:type="spellStart"/>
      <w:r w:rsidR="004C5DC7">
        <w:t>juillet</w:t>
      </w:r>
      <w:proofErr w:type="spellEnd"/>
      <w:r w:rsidR="004C5DC7">
        <w:t xml:space="preserve"> 2011</w:t>
      </w:r>
      <w:r w:rsidR="00045A95">
        <w:tab/>
      </w:r>
    </w:p>
    <w:p w:rsidR="00DB7179" w:rsidRDefault="00DB7179" w:rsidP="00045A95">
      <w:pPr>
        <w:tabs>
          <w:tab w:val="left" w:pos="2268"/>
        </w:tabs>
        <w:spacing w:before="60" w:after="40"/>
      </w:pPr>
      <w:r>
        <w:t>Zielgruppe:</w:t>
      </w:r>
      <w:r w:rsidR="00BC2900" w:rsidRPr="00BC2900">
        <w:t xml:space="preserve"> </w:t>
      </w:r>
      <w:proofErr w:type="spellStart"/>
      <w:r w:rsidR="00BC2900">
        <w:t>lecteurs</w:t>
      </w:r>
      <w:proofErr w:type="spellEnd"/>
      <w:r w:rsidR="00BC2900">
        <w:t xml:space="preserve"> du </w:t>
      </w:r>
      <w:r w:rsidR="00BC2900" w:rsidRPr="00BC2900">
        <w:rPr>
          <w:i/>
        </w:rPr>
        <w:t>Monde</w:t>
      </w:r>
      <w:r w:rsidR="00045A95">
        <w:tab/>
      </w:r>
    </w:p>
    <w:p w:rsidR="006220DA" w:rsidRDefault="006220DA" w:rsidP="00045A95">
      <w:pPr>
        <w:tabs>
          <w:tab w:val="left" w:pos="2268"/>
        </w:tabs>
        <w:spacing w:before="60" w:after="40"/>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981951" w:rsidTr="00CA04C6">
        <w:trPr>
          <w:trHeight w:val="2413"/>
        </w:trPr>
        <w:tc>
          <w:tcPr>
            <w:tcW w:w="9778" w:type="dxa"/>
            <w:shd w:val="clear" w:color="auto" w:fill="auto"/>
          </w:tcPr>
          <w:p w:rsidR="00886796" w:rsidRPr="00981951" w:rsidRDefault="00886796" w:rsidP="00F6709F">
            <w:pPr>
              <w:spacing w:before="60" w:after="40"/>
              <w:rPr>
                <w:lang w:val="fr-CH"/>
              </w:rPr>
            </w:pPr>
          </w:p>
          <w:p w:rsidR="004432BD" w:rsidRPr="004432BD" w:rsidRDefault="004432BD" w:rsidP="00BC2900">
            <w:pPr>
              <w:spacing w:line="480" w:lineRule="auto"/>
              <w:jc w:val="both"/>
              <w:rPr>
                <w:rFonts w:cs="Arial"/>
                <w:i/>
                <w:szCs w:val="22"/>
                <w:lang w:val="fr-FR" w:eastAsia="fr-FR"/>
              </w:rPr>
            </w:pPr>
            <w:r w:rsidRPr="004432BD">
              <w:rPr>
                <w:rFonts w:cs="Arial"/>
                <w:i/>
                <w:szCs w:val="22"/>
                <w:lang w:val="fr-FR" w:eastAsia="fr-FR"/>
              </w:rPr>
              <w:t>En c</w:t>
            </w:r>
            <w:r>
              <w:rPr>
                <w:rFonts w:cs="Arial"/>
                <w:i/>
                <w:szCs w:val="22"/>
                <w:lang w:val="fr-FR" w:eastAsia="fr-FR"/>
              </w:rPr>
              <w:t>ette période de crise écologique</w:t>
            </w:r>
            <w:r w:rsidRPr="004432BD">
              <w:rPr>
                <w:rFonts w:cs="Arial"/>
                <w:i/>
                <w:szCs w:val="22"/>
                <w:lang w:val="fr-FR" w:eastAsia="fr-FR"/>
              </w:rPr>
              <w:t>, les médias du monde entier ont déversé</w:t>
            </w:r>
            <w:r w:rsidR="00612AD8">
              <w:rPr>
                <w:rFonts w:cs="Arial"/>
                <w:i/>
                <w:szCs w:val="22"/>
                <w:lang w:val="fr-FR" w:eastAsia="fr-FR"/>
              </w:rPr>
              <w:t>,</w:t>
            </w:r>
            <w:r w:rsidR="004C5DC7">
              <w:rPr>
                <w:rFonts w:cs="Arial"/>
                <w:i/>
                <w:szCs w:val="22"/>
                <w:lang w:val="fr-FR" w:eastAsia="fr-FR"/>
              </w:rPr>
              <w:t xml:space="preserve"> depuis quelques années</w:t>
            </w:r>
            <w:r w:rsidR="00612AD8">
              <w:rPr>
                <w:rFonts w:cs="Arial"/>
                <w:i/>
                <w:szCs w:val="22"/>
                <w:lang w:val="fr-FR" w:eastAsia="fr-FR"/>
              </w:rPr>
              <w:t>,</w:t>
            </w:r>
            <w:r w:rsidRPr="004432BD">
              <w:rPr>
                <w:rFonts w:cs="Arial"/>
                <w:i/>
                <w:szCs w:val="22"/>
                <w:lang w:val="fr-FR" w:eastAsia="fr-FR"/>
              </w:rPr>
              <w:t xml:space="preserve"> des centaines </w:t>
            </w:r>
            <w:r w:rsidR="00B37A08">
              <w:rPr>
                <w:rFonts w:cs="Arial"/>
                <w:i/>
                <w:szCs w:val="22"/>
                <w:lang w:val="fr-FR" w:eastAsia="fr-FR"/>
              </w:rPr>
              <w:t xml:space="preserve">de </w:t>
            </w:r>
            <w:proofErr w:type="spellStart"/>
            <w:r w:rsidR="00B37A08">
              <w:rPr>
                <w:rFonts w:cs="Arial"/>
                <w:i/>
                <w:szCs w:val="22"/>
                <w:lang w:val="fr-FR" w:eastAsia="fr-FR"/>
              </w:rPr>
              <w:t>compte-</w:t>
            </w:r>
            <w:r>
              <w:rPr>
                <w:rFonts w:cs="Arial"/>
                <w:i/>
                <w:szCs w:val="22"/>
                <w:lang w:val="fr-FR" w:eastAsia="fr-FR"/>
              </w:rPr>
              <w:t>rendus</w:t>
            </w:r>
            <w:proofErr w:type="spellEnd"/>
            <w:r>
              <w:rPr>
                <w:rFonts w:cs="Arial"/>
                <w:i/>
                <w:szCs w:val="22"/>
                <w:lang w:val="fr-FR" w:eastAsia="fr-FR"/>
              </w:rPr>
              <w:t xml:space="preserve"> polémiques. Cet article de John Vidal, spécialiste de l’environnement au </w:t>
            </w:r>
            <w:r w:rsidRPr="004432BD">
              <w:rPr>
                <w:rFonts w:cs="Arial"/>
                <w:i/>
                <w:szCs w:val="22"/>
                <w:u w:val="single"/>
                <w:lang w:val="fr-FR" w:eastAsia="fr-FR"/>
              </w:rPr>
              <w:t>Guardian,</w:t>
            </w:r>
            <w:r>
              <w:rPr>
                <w:rFonts w:cs="Arial"/>
                <w:i/>
                <w:szCs w:val="22"/>
                <w:lang w:val="fr-FR" w:eastAsia="fr-FR"/>
              </w:rPr>
              <w:t xml:space="preserve"> pose le problème de l’urbanisation massive et de ses dangers</w:t>
            </w:r>
            <w:r w:rsidR="00746A1F">
              <w:rPr>
                <w:rFonts w:cs="Arial"/>
                <w:i/>
                <w:szCs w:val="22"/>
                <w:lang w:val="fr-FR" w:eastAsia="fr-FR"/>
              </w:rPr>
              <w:t xml:space="preserve"> à</w:t>
            </w:r>
            <w:r w:rsidR="004C5DC7">
              <w:rPr>
                <w:rFonts w:cs="Arial"/>
                <w:i/>
                <w:szCs w:val="22"/>
                <w:lang w:val="fr-FR" w:eastAsia="fr-FR"/>
              </w:rPr>
              <w:t xml:space="preserve"> venir</w:t>
            </w:r>
            <w:r w:rsidRPr="004432BD">
              <w:rPr>
                <w:rFonts w:cs="Arial"/>
                <w:i/>
                <w:szCs w:val="22"/>
                <w:lang w:val="fr-FR" w:eastAsia="fr-FR"/>
              </w:rPr>
              <w:t>.</w:t>
            </w:r>
          </w:p>
          <w:p w:rsidR="004432BD" w:rsidRPr="004432BD" w:rsidRDefault="004432BD" w:rsidP="00BC2900">
            <w:pPr>
              <w:spacing w:line="480" w:lineRule="auto"/>
              <w:jc w:val="both"/>
              <w:rPr>
                <w:rFonts w:cs="Arial"/>
                <w:i/>
                <w:szCs w:val="22"/>
                <w:lang w:val="fr-FR" w:eastAsia="fr-FR"/>
              </w:rPr>
            </w:pPr>
            <w:r>
              <w:rPr>
                <w:rFonts w:cs="Arial"/>
                <w:i/>
                <w:szCs w:val="22"/>
                <w:lang w:val="fr-FR" w:eastAsia="fr-FR"/>
              </w:rPr>
              <w:t>Veuillez traduire cet extrait remanié</w:t>
            </w:r>
            <w:r w:rsidRPr="004432BD">
              <w:rPr>
                <w:rFonts w:cs="Arial"/>
                <w:i/>
                <w:szCs w:val="22"/>
                <w:lang w:val="fr-FR" w:eastAsia="fr-FR"/>
              </w:rPr>
              <w:t xml:space="preserve"> pour un support fran</w:t>
            </w:r>
            <w:r>
              <w:rPr>
                <w:rFonts w:cs="Arial"/>
                <w:i/>
                <w:szCs w:val="22"/>
                <w:lang w:val="fr-FR" w:eastAsia="fr-FR"/>
              </w:rPr>
              <w:t>çais équivalant au site  stwr.org</w:t>
            </w:r>
            <w:r w:rsidR="00612AD8">
              <w:rPr>
                <w:rFonts w:cs="Arial"/>
                <w:i/>
                <w:szCs w:val="22"/>
                <w:lang w:val="fr-FR" w:eastAsia="fr-FR"/>
              </w:rPr>
              <w:t>,</w:t>
            </w:r>
            <w:r>
              <w:rPr>
                <w:rFonts w:cs="Arial"/>
                <w:i/>
                <w:szCs w:val="22"/>
                <w:lang w:val="fr-FR" w:eastAsia="fr-FR"/>
              </w:rPr>
              <w:t xml:space="preserve"> sur lequel il a paru tout récemment.</w:t>
            </w:r>
            <w:r w:rsidRPr="004432BD">
              <w:rPr>
                <w:rFonts w:cs="Arial"/>
                <w:i/>
                <w:szCs w:val="22"/>
                <w:lang w:val="fr-FR" w:eastAsia="fr-FR"/>
              </w:rPr>
              <w:t xml:space="preserve"> Vous essaierez d</w:t>
            </w:r>
            <w:r>
              <w:rPr>
                <w:rFonts w:cs="Arial"/>
                <w:i/>
                <w:szCs w:val="22"/>
                <w:lang w:val="fr-FR" w:eastAsia="fr-FR"/>
              </w:rPr>
              <w:t>e rendre les traits</w:t>
            </w:r>
            <w:r w:rsidRPr="004432BD">
              <w:rPr>
                <w:rFonts w:cs="Arial"/>
                <w:i/>
                <w:szCs w:val="22"/>
                <w:lang w:val="fr-FR" w:eastAsia="fr-FR"/>
              </w:rPr>
              <w:t xml:space="preserve"> de l’écriture tout en assurant un transfert adéquat des expressions économiques, politiques et environnementales dont le discours est émaillé.</w:t>
            </w:r>
          </w:p>
          <w:p w:rsidR="004432BD" w:rsidRPr="004432BD" w:rsidRDefault="004432BD" w:rsidP="004432BD">
            <w:pPr>
              <w:rPr>
                <w:rFonts w:cs="Arial"/>
                <w:szCs w:val="22"/>
                <w:lang w:val="fr-CH" w:eastAsia="fr-FR"/>
              </w:rPr>
            </w:pPr>
          </w:p>
          <w:p w:rsidR="004432BD" w:rsidRPr="004432BD" w:rsidRDefault="004432BD" w:rsidP="004432BD">
            <w:pPr>
              <w:spacing w:line="360" w:lineRule="auto"/>
              <w:jc w:val="both"/>
              <w:rPr>
                <w:rFonts w:cs="Arial"/>
                <w:szCs w:val="22"/>
                <w:lang w:val="fr-CH" w:eastAsia="fr-FR"/>
              </w:rPr>
            </w:pPr>
          </w:p>
          <w:p w:rsidR="00886796" w:rsidRPr="004432BD" w:rsidRDefault="00886796" w:rsidP="00F6709F">
            <w:pPr>
              <w:spacing w:before="60" w:after="40"/>
              <w:rPr>
                <w:lang w:val="fr-CH"/>
              </w:rPr>
            </w:pPr>
          </w:p>
          <w:p w:rsidR="00A07D4D" w:rsidRPr="00981951" w:rsidRDefault="00A07D4D" w:rsidP="00F6709F">
            <w:pPr>
              <w:spacing w:before="60" w:after="40"/>
              <w:rPr>
                <w:lang w:val="fr-CH"/>
              </w:rPr>
            </w:pPr>
          </w:p>
          <w:p w:rsidR="000658B9" w:rsidRPr="00981951" w:rsidRDefault="000658B9" w:rsidP="00F6709F">
            <w:pPr>
              <w:spacing w:before="60" w:after="40"/>
              <w:rPr>
                <w:lang w:val="fr-CH"/>
              </w:rPr>
            </w:pPr>
          </w:p>
          <w:p w:rsidR="000658B9" w:rsidRPr="00981951" w:rsidRDefault="000658B9" w:rsidP="00F6709F">
            <w:pPr>
              <w:spacing w:before="60" w:after="40"/>
              <w:rPr>
                <w:lang w:val="fr-CH"/>
              </w:rPr>
            </w:pPr>
          </w:p>
          <w:p w:rsidR="00886796" w:rsidRPr="00981951" w:rsidRDefault="00886796" w:rsidP="00F6709F">
            <w:pPr>
              <w:spacing w:before="60" w:after="40"/>
              <w:rPr>
                <w:lang w:val="fr-CH"/>
              </w:rPr>
            </w:pPr>
          </w:p>
          <w:p w:rsidR="00886796" w:rsidRPr="00981951" w:rsidRDefault="00886796" w:rsidP="009636CA">
            <w:pPr>
              <w:spacing w:before="60" w:after="40"/>
              <w:rPr>
                <w:lang w:val="fr-CH"/>
              </w:rPr>
            </w:pPr>
          </w:p>
        </w:tc>
      </w:tr>
    </w:tbl>
    <w:p w:rsidR="00886796" w:rsidRPr="00981951" w:rsidRDefault="00886796" w:rsidP="00886796">
      <w:pPr>
        <w:spacing w:before="60" w:after="40"/>
        <w:rPr>
          <w:b/>
          <w:lang w:val="fr-CH"/>
        </w:rPr>
      </w:pPr>
    </w:p>
    <w:p w:rsidR="00741024" w:rsidRPr="00981951" w:rsidRDefault="00741024" w:rsidP="00886796">
      <w:pPr>
        <w:spacing w:before="60" w:after="40"/>
        <w:rPr>
          <w:lang w:val="fr-CH"/>
        </w:rPr>
      </w:pPr>
    </w:p>
    <w:p w:rsidR="00BC2900" w:rsidRPr="00981951" w:rsidRDefault="00BC2900" w:rsidP="00886796">
      <w:pPr>
        <w:spacing w:before="60" w:after="40"/>
        <w:rPr>
          <w:lang w:val="fr-CH"/>
        </w:rPr>
      </w:pPr>
    </w:p>
    <w:p w:rsidR="00BC2900" w:rsidRPr="00981951" w:rsidRDefault="00BC2900" w:rsidP="00886796">
      <w:pPr>
        <w:spacing w:before="60" w:after="40"/>
        <w:rPr>
          <w:lang w:val="fr-CH"/>
        </w:rPr>
      </w:pPr>
    </w:p>
    <w:p w:rsidR="00BC2900" w:rsidRPr="00BC2900" w:rsidRDefault="00BC2900" w:rsidP="00BC2900">
      <w:pPr>
        <w:suppressAutoHyphens/>
        <w:autoSpaceDN w:val="0"/>
        <w:spacing w:line="276" w:lineRule="auto"/>
        <w:jc w:val="both"/>
        <w:textAlignment w:val="baseline"/>
        <w:rPr>
          <w:rFonts w:ascii="Calibri" w:eastAsia="Calibri" w:hAnsi="Calibri"/>
          <w:szCs w:val="22"/>
          <w:lang w:val="en-US" w:eastAsia="en-US"/>
        </w:rPr>
      </w:pPr>
      <w:r w:rsidRPr="00BC2900">
        <w:rPr>
          <w:rFonts w:eastAsia="Calibri" w:cs="Arial"/>
          <w:b/>
          <w:sz w:val="28"/>
          <w:szCs w:val="28"/>
          <w:lang w:val="en-US" w:eastAsia="en-US"/>
        </w:rPr>
        <w:t>The endless city</w:t>
      </w:r>
    </w:p>
    <w:p w:rsidR="00BC2900" w:rsidRDefault="00BC2900" w:rsidP="00BC2900">
      <w:pPr>
        <w:suppressAutoHyphens/>
        <w:autoSpaceDN w:val="0"/>
        <w:spacing w:line="276" w:lineRule="auto"/>
        <w:jc w:val="both"/>
        <w:textAlignment w:val="baseline"/>
        <w:rPr>
          <w:rFonts w:eastAsia="Calibri" w:cs="Arial"/>
          <w:szCs w:val="22"/>
          <w:lang w:val="en-US" w:eastAsia="en-US"/>
        </w:rPr>
      </w:pPr>
    </w:p>
    <w:p w:rsidR="00543359" w:rsidRPr="004C678F" w:rsidRDefault="00543359" w:rsidP="00543359">
      <w:pPr>
        <w:suppressAutoHyphens/>
        <w:autoSpaceDN w:val="0"/>
        <w:spacing w:line="276" w:lineRule="auto"/>
        <w:jc w:val="both"/>
        <w:textAlignment w:val="baseline"/>
        <w:rPr>
          <w:rFonts w:eastAsia="Calibri" w:cs="Arial"/>
          <w:b/>
          <w:color w:val="A6A6A6" w:themeColor="background1" w:themeShade="A6"/>
          <w:szCs w:val="22"/>
          <w:lang w:val="en-US" w:eastAsia="en-US"/>
        </w:rPr>
      </w:pPr>
      <w:r w:rsidRPr="00981951">
        <w:rPr>
          <w:rFonts w:eastAsia="Calibri" w:cs="Arial"/>
          <w:b/>
          <w:color w:val="A6A6A6" w:themeColor="background1" w:themeShade="A6"/>
          <w:szCs w:val="22"/>
          <w:lang w:eastAsia="en-US"/>
        </w:rPr>
        <w:t>((grau: nur zur Info, nicht übersetzen))</w:t>
      </w:r>
      <w:r w:rsidR="004C678F" w:rsidRPr="00981951">
        <w:rPr>
          <w:rFonts w:eastAsia="Calibri" w:cs="Arial"/>
          <w:b/>
          <w:color w:val="A6A6A6" w:themeColor="background1" w:themeShade="A6"/>
          <w:szCs w:val="22"/>
          <w:lang w:eastAsia="en-US"/>
        </w:rPr>
        <w:t xml:space="preserve"> </w:t>
      </w:r>
      <w:proofErr w:type="spellStart"/>
      <w:r w:rsidRPr="00981951">
        <w:rPr>
          <w:rFonts w:eastAsia="Calibri" w:cs="Arial"/>
          <w:color w:val="A6A6A6" w:themeColor="background1" w:themeShade="A6"/>
          <w:szCs w:val="22"/>
          <w:lang w:eastAsia="en-US"/>
        </w:rPr>
        <w:t>Get</w:t>
      </w:r>
      <w:proofErr w:type="spellEnd"/>
      <w:r w:rsidRPr="00981951">
        <w:rPr>
          <w:rFonts w:eastAsia="Calibri" w:cs="Arial"/>
          <w:color w:val="A6A6A6" w:themeColor="background1" w:themeShade="A6"/>
          <w:szCs w:val="22"/>
          <w:lang w:eastAsia="en-US"/>
        </w:rPr>
        <w:t xml:space="preserve"> </w:t>
      </w:r>
      <w:proofErr w:type="spellStart"/>
      <w:r w:rsidRPr="00981951">
        <w:rPr>
          <w:rFonts w:eastAsia="Calibri" w:cs="Arial"/>
          <w:color w:val="A6A6A6" w:themeColor="background1" w:themeShade="A6"/>
          <w:szCs w:val="22"/>
          <w:lang w:eastAsia="en-US"/>
        </w:rPr>
        <w:t>used</w:t>
      </w:r>
      <w:proofErr w:type="spellEnd"/>
      <w:r w:rsidRPr="00981951">
        <w:rPr>
          <w:rFonts w:eastAsia="Calibri" w:cs="Arial"/>
          <w:color w:val="A6A6A6" w:themeColor="background1" w:themeShade="A6"/>
          <w:szCs w:val="22"/>
          <w:lang w:eastAsia="en-US"/>
        </w:rPr>
        <w:t xml:space="preserve"> </w:t>
      </w:r>
      <w:proofErr w:type="spellStart"/>
      <w:r w:rsidRPr="00981951">
        <w:rPr>
          <w:rFonts w:eastAsia="Calibri" w:cs="Arial"/>
          <w:color w:val="A6A6A6" w:themeColor="background1" w:themeShade="A6"/>
          <w:szCs w:val="22"/>
          <w:lang w:eastAsia="en-US"/>
        </w:rPr>
        <w:t>to</w:t>
      </w:r>
      <w:proofErr w:type="spellEnd"/>
      <w:r w:rsidRPr="00981951">
        <w:rPr>
          <w:rFonts w:eastAsia="Calibri" w:cs="Arial"/>
          <w:color w:val="A6A6A6" w:themeColor="background1" w:themeShade="A6"/>
          <w:szCs w:val="22"/>
          <w:lang w:eastAsia="en-US"/>
        </w:rPr>
        <w:t xml:space="preserve"> it. </w:t>
      </w:r>
      <w:r w:rsidRPr="003A0235">
        <w:rPr>
          <w:rFonts w:eastAsia="Calibri" w:cs="Arial"/>
          <w:color w:val="A6A6A6" w:themeColor="background1" w:themeShade="A6"/>
          <w:szCs w:val="22"/>
          <w:lang w:val="en-US" w:eastAsia="en-US"/>
        </w:rPr>
        <w:t>The future is urban and in 50 years’ it may be weird to find people living in the countryside. The UN planet-watchers have found not just that we are becoming an urban species but that the world’s cities are growing and merging with each other, forming vast “</w:t>
      </w:r>
      <w:proofErr w:type="spellStart"/>
      <w:r w:rsidRPr="003A0235">
        <w:rPr>
          <w:rFonts w:eastAsia="Calibri" w:cs="Arial"/>
          <w:color w:val="A6A6A6" w:themeColor="background1" w:themeShade="A6"/>
          <w:szCs w:val="22"/>
          <w:lang w:val="en-US" w:eastAsia="en-US"/>
        </w:rPr>
        <w:t>megaregions</w:t>
      </w:r>
      <w:proofErr w:type="spellEnd"/>
      <w:r w:rsidRPr="003A0235">
        <w:rPr>
          <w:rFonts w:eastAsia="Calibri" w:cs="Arial"/>
          <w:color w:val="A6A6A6" w:themeColor="background1" w:themeShade="A6"/>
          <w:szCs w:val="22"/>
          <w:lang w:val="en-US" w:eastAsia="en-US"/>
        </w:rPr>
        <w:t>.” These giants are already sprawling across borders and becoming homes to 100 million or more people. Today just over one half of us live in urban areas. By 2050 it will be 7 in 10 and eventually the city will take over.</w:t>
      </w:r>
    </w:p>
    <w:p w:rsidR="00543359" w:rsidRPr="00BC2900" w:rsidRDefault="00543359" w:rsidP="00543359">
      <w:pPr>
        <w:suppressAutoHyphens/>
        <w:autoSpaceDN w:val="0"/>
        <w:spacing w:line="276" w:lineRule="auto"/>
        <w:jc w:val="both"/>
        <w:textAlignment w:val="baseline"/>
        <w:rPr>
          <w:rFonts w:eastAsia="Calibri" w:cs="Arial"/>
          <w:szCs w:val="22"/>
          <w:lang w:val="en-US" w:eastAsia="en-US"/>
        </w:rPr>
      </w:pPr>
    </w:p>
    <w:p w:rsidR="00543359" w:rsidRPr="00BC2900" w:rsidRDefault="004C678F" w:rsidP="00543359">
      <w:pPr>
        <w:suppressAutoHyphens/>
        <w:autoSpaceDN w:val="0"/>
        <w:spacing w:line="276" w:lineRule="auto"/>
        <w:jc w:val="both"/>
        <w:textAlignment w:val="baseline"/>
        <w:rPr>
          <w:rFonts w:eastAsia="Calibri" w:cs="Arial"/>
          <w:szCs w:val="22"/>
          <w:lang w:val="en-US" w:eastAsia="en-US"/>
        </w:rPr>
      </w:pPr>
      <w:r w:rsidRPr="003A0235">
        <w:rPr>
          <w:rFonts w:eastAsia="Calibri" w:cs="Arial"/>
          <w:b/>
          <w:szCs w:val="22"/>
          <w:lang w:val="en-US" w:eastAsia="en-US"/>
        </w:rPr>
        <w:t>((</w:t>
      </w:r>
      <w:proofErr w:type="spellStart"/>
      <w:r w:rsidRPr="003A0235">
        <w:rPr>
          <w:rFonts w:eastAsia="Calibri" w:cs="Arial"/>
          <w:b/>
          <w:szCs w:val="22"/>
          <w:lang w:val="en-US" w:eastAsia="en-US"/>
        </w:rPr>
        <w:t>Ab</w:t>
      </w:r>
      <w:proofErr w:type="spellEnd"/>
      <w:r w:rsidRPr="003A0235">
        <w:rPr>
          <w:rFonts w:eastAsia="Calibri" w:cs="Arial"/>
          <w:b/>
          <w:szCs w:val="22"/>
          <w:lang w:val="en-US" w:eastAsia="en-US"/>
        </w:rPr>
        <w:t xml:space="preserve"> </w:t>
      </w:r>
      <w:proofErr w:type="spellStart"/>
      <w:r w:rsidRPr="003A0235">
        <w:rPr>
          <w:rFonts w:eastAsia="Calibri" w:cs="Arial"/>
          <w:b/>
          <w:szCs w:val="22"/>
          <w:lang w:val="en-US" w:eastAsia="en-US"/>
        </w:rPr>
        <w:t>hier</w:t>
      </w:r>
      <w:proofErr w:type="spellEnd"/>
      <w:r w:rsidRPr="003A0235">
        <w:rPr>
          <w:rFonts w:eastAsia="Calibri" w:cs="Arial"/>
          <w:b/>
          <w:szCs w:val="22"/>
          <w:lang w:val="en-US" w:eastAsia="en-US"/>
        </w:rPr>
        <w:t xml:space="preserve"> </w:t>
      </w:r>
      <w:proofErr w:type="spellStart"/>
      <w:r w:rsidRPr="003A0235">
        <w:rPr>
          <w:rFonts w:eastAsia="Calibri" w:cs="Arial"/>
          <w:b/>
          <w:szCs w:val="22"/>
          <w:lang w:val="en-US" w:eastAsia="en-US"/>
        </w:rPr>
        <w:t>übersetzen</w:t>
      </w:r>
      <w:proofErr w:type="spellEnd"/>
      <w:r w:rsidRPr="003A0235">
        <w:rPr>
          <w:rFonts w:eastAsia="Calibri" w:cs="Arial"/>
          <w:b/>
          <w:szCs w:val="22"/>
          <w:lang w:val="en-US" w:eastAsia="en-US"/>
        </w:rPr>
        <w:t>))</w:t>
      </w:r>
      <w:r>
        <w:rPr>
          <w:rFonts w:eastAsia="Calibri" w:cs="Arial"/>
          <w:b/>
          <w:szCs w:val="22"/>
          <w:lang w:val="en-US" w:eastAsia="en-US"/>
        </w:rPr>
        <w:t xml:space="preserve"> </w:t>
      </w:r>
      <w:r w:rsidR="00543359" w:rsidRPr="00BC2900">
        <w:rPr>
          <w:rFonts w:eastAsia="Calibri" w:cs="Arial"/>
          <w:szCs w:val="22"/>
          <w:lang w:val="en-US" w:eastAsia="en-US"/>
        </w:rPr>
        <w:t>UN-Habitat’s biennial cities report says urbanization is now unstoppable and we should prepare to live in “the endless city.” Outwardly</w:t>
      </w:r>
      <w:r w:rsidR="00543359">
        <w:rPr>
          <w:rFonts w:eastAsia="Calibri" w:cs="Arial"/>
          <w:szCs w:val="22"/>
          <w:lang w:val="en-US" w:eastAsia="en-US"/>
        </w:rPr>
        <w:t xml:space="preserve">, the development of these </w:t>
      </w:r>
      <w:proofErr w:type="spellStart"/>
      <w:r w:rsidR="00543359">
        <w:rPr>
          <w:rFonts w:eastAsia="Calibri" w:cs="Arial"/>
          <w:szCs w:val="22"/>
          <w:lang w:val="en-US" w:eastAsia="en-US"/>
        </w:rPr>
        <w:t>mega</w:t>
      </w:r>
      <w:r w:rsidR="00543359" w:rsidRPr="00BC2900">
        <w:rPr>
          <w:rFonts w:eastAsia="Calibri" w:cs="Arial"/>
          <w:szCs w:val="22"/>
          <w:lang w:val="en-US" w:eastAsia="en-US"/>
        </w:rPr>
        <w:t>regions</w:t>
      </w:r>
      <w:proofErr w:type="spellEnd"/>
      <w:r w:rsidR="00543359" w:rsidRPr="00BC2900">
        <w:rPr>
          <w:rFonts w:eastAsia="Calibri" w:cs="Arial"/>
          <w:szCs w:val="22"/>
          <w:lang w:val="en-US" w:eastAsia="en-US"/>
        </w:rPr>
        <w:t xml:space="preserve"> makes economic and environmental sense. They cover just a fraction of the habitable surface of the earth but are home to nearly 20% of the world’s population. They account for 66% of all economic activity and about 85% of technological and scientific innovation. The top 25 account for more than half of the world’s wealth, and the five largest cities in India and China now account for 50% of those countries’ wealth. They lead development and provide work for the masses, and the money earned in them is sent back and supports the country areas. Cities, in short, are the cradles of culture and wealth and will allow earth to accommodate a further three billion people.</w:t>
      </w:r>
    </w:p>
    <w:p w:rsidR="00543359" w:rsidRPr="00BC2900" w:rsidRDefault="00543359" w:rsidP="00543359">
      <w:pPr>
        <w:suppressAutoHyphens/>
        <w:autoSpaceDN w:val="0"/>
        <w:spacing w:line="276" w:lineRule="auto"/>
        <w:jc w:val="both"/>
        <w:textAlignment w:val="baseline"/>
        <w:rPr>
          <w:rFonts w:eastAsia="Calibri" w:cs="Arial"/>
          <w:szCs w:val="22"/>
          <w:lang w:val="en-US" w:eastAsia="en-US"/>
        </w:rPr>
      </w:pPr>
    </w:p>
    <w:p w:rsidR="00543359" w:rsidRPr="00BC2900" w:rsidRDefault="00543359" w:rsidP="00543359">
      <w:pPr>
        <w:suppressAutoHyphens/>
        <w:autoSpaceDN w:val="0"/>
        <w:spacing w:line="276" w:lineRule="auto"/>
        <w:jc w:val="both"/>
        <w:textAlignment w:val="baseline"/>
        <w:rPr>
          <w:rFonts w:eastAsia="Calibri" w:cs="Arial"/>
          <w:szCs w:val="22"/>
          <w:lang w:val="en-US" w:eastAsia="en-US"/>
        </w:rPr>
      </w:pPr>
      <w:r w:rsidRPr="00BC2900">
        <w:rPr>
          <w:rFonts w:eastAsia="Calibri" w:cs="Arial"/>
          <w:szCs w:val="22"/>
          <w:lang w:val="en-US" w:eastAsia="en-US"/>
        </w:rPr>
        <w:t xml:space="preserve">This view is backed by writers like British academic and author Owen </w:t>
      </w:r>
      <w:proofErr w:type="spellStart"/>
      <w:r w:rsidRPr="00BC2900">
        <w:rPr>
          <w:rFonts w:eastAsia="Calibri" w:cs="Arial"/>
          <w:szCs w:val="22"/>
          <w:lang w:val="en-US" w:eastAsia="en-US"/>
        </w:rPr>
        <w:t>Hatherley</w:t>
      </w:r>
      <w:proofErr w:type="spellEnd"/>
      <w:r w:rsidRPr="00BC2900">
        <w:rPr>
          <w:rFonts w:eastAsia="Calibri" w:cs="Arial"/>
          <w:szCs w:val="22"/>
          <w:lang w:val="en-US" w:eastAsia="en-US"/>
        </w:rPr>
        <w:t xml:space="preserve">: “Super cities have always horrified environmentalists but they shouldn’t. With their relatively short distances easily served by public transport, they are in fact greener than the countryside; a recent academic report estimated that cities produce less than two-fifths of greenhouse gas emissions. What is worrying about the ‘endless city’ is that it may lack the public spaces and networks that make urban life superior. </w:t>
      </w:r>
    </w:p>
    <w:p w:rsidR="00543359" w:rsidRPr="00BC2900" w:rsidRDefault="00543359" w:rsidP="00543359">
      <w:pPr>
        <w:suppressAutoHyphens/>
        <w:autoSpaceDN w:val="0"/>
        <w:spacing w:line="276" w:lineRule="auto"/>
        <w:jc w:val="both"/>
        <w:textAlignment w:val="baseline"/>
        <w:rPr>
          <w:rFonts w:eastAsia="Calibri" w:cs="Arial"/>
          <w:szCs w:val="22"/>
          <w:lang w:val="en-US" w:eastAsia="en-US"/>
        </w:rPr>
      </w:pPr>
    </w:p>
    <w:p w:rsidR="00543359" w:rsidRPr="00BC2900" w:rsidRDefault="00543359" w:rsidP="00543359">
      <w:pPr>
        <w:suppressAutoHyphens/>
        <w:autoSpaceDN w:val="0"/>
        <w:spacing w:line="276" w:lineRule="auto"/>
        <w:jc w:val="both"/>
        <w:textAlignment w:val="baseline"/>
        <w:rPr>
          <w:rFonts w:eastAsia="Calibri" w:cs="Arial"/>
          <w:szCs w:val="22"/>
          <w:lang w:val="en-US" w:eastAsia="en-US"/>
        </w:rPr>
      </w:pPr>
      <w:r w:rsidRPr="00BC2900">
        <w:rPr>
          <w:rFonts w:eastAsia="Calibri" w:cs="Arial"/>
          <w:szCs w:val="22"/>
          <w:lang w:val="en-US" w:eastAsia="en-US"/>
        </w:rPr>
        <w:t xml:space="preserve">Besides, urban living depends on enormous resource consumption. The characteristic of a truly sustainable city is, first and foremost, that it powers itself entirely by means of renewable energy systems. In nature, waste materials are absorbed beneficially back into the local environment as nutrients. Cities don’t do that. They work by way of taking resources from one place and dumping them somewhere else causing damage to nature. </w:t>
      </w:r>
    </w:p>
    <w:p w:rsidR="00543359" w:rsidRDefault="00543359" w:rsidP="00543359">
      <w:pPr>
        <w:suppressAutoHyphens/>
        <w:autoSpaceDN w:val="0"/>
        <w:spacing w:line="276" w:lineRule="auto"/>
        <w:jc w:val="both"/>
        <w:textAlignment w:val="baseline"/>
        <w:rPr>
          <w:rFonts w:eastAsia="Calibri" w:cs="Arial"/>
          <w:szCs w:val="22"/>
          <w:lang w:val="en-US" w:eastAsia="en-US"/>
        </w:rPr>
      </w:pPr>
    </w:p>
    <w:p w:rsidR="00543359" w:rsidRPr="004C678F" w:rsidRDefault="00543359" w:rsidP="00543359">
      <w:pPr>
        <w:suppressAutoHyphens/>
        <w:autoSpaceDN w:val="0"/>
        <w:spacing w:line="276" w:lineRule="auto"/>
        <w:jc w:val="both"/>
        <w:textAlignment w:val="baseline"/>
        <w:rPr>
          <w:rFonts w:eastAsia="Calibri" w:cs="Arial"/>
          <w:b/>
          <w:color w:val="A6A6A6" w:themeColor="background1" w:themeShade="A6"/>
          <w:szCs w:val="22"/>
          <w:lang w:val="en-US" w:eastAsia="en-US"/>
        </w:rPr>
      </w:pPr>
      <w:r w:rsidRPr="003A0235">
        <w:rPr>
          <w:rFonts w:eastAsia="Calibri" w:cs="Arial"/>
          <w:b/>
          <w:color w:val="A6A6A6" w:themeColor="background1" w:themeShade="A6"/>
          <w:szCs w:val="22"/>
          <w:lang w:val="en-US" w:eastAsia="en-US"/>
        </w:rPr>
        <w:t>((</w:t>
      </w:r>
      <w:proofErr w:type="spellStart"/>
      <w:proofErr w:type="gramStart"/>
      <w:r>
        <w:rPr>
          <w:rFonts w:eastAsia="Calibri" w:cs="Arial"/>
          <w:b/>
          <w:color w:val="A6A6A6" w:themeColor="background1" w:themeShade="A6"/>
          <w:szCs w:val="22"/>
          <w:lang w:val="en-US" w:eastAsia="en-US"/>
        </w:rPr>
        <w:t>grau</w:t>
      </w:r>
      <w:proofErr w:type="spellEnd"/>
      <w:proofErr w:type="gramEnd"/>
      <w:r>
        <w:rPr>
          <w:rFonts w:eastAsia="Calibri" w:cs="Arial"/>
          <w:b/>
          <w:color w:val="A6A6A6" w:themeColor="background1" w:themeShade="A6"/>
          <w:szCs w:val="22"/>
          <w:lang w:val="en-US" w:eastAsia="en-US"/>
        </w:rPr>
        <w:t xml:space="preserve">: </w:t>
      </w:r>
      <w:proofErr w:type="spellStart"/>
      <w:r>
        <w:rPr>
          <w:rFonts w:eastAsia="Calibri" w:cs="Arial"/>
          <w:b/>
          <w:color w:val="A6A6A6" w:themeColor="background1" w:themeShade="A6"/>
          <w:szCs w:val="22"/>
          <w:lang w:val="en-US" w:eastAsia="en-US"/>
        </w:rPr>
        <w:t>nur</w:t>
      </w:r>
      <w:proofErr w:type="spellEnd"/>
      <w:r>
        <w:rPr>
          <w:rFonts w:eastAsia="Calibri" w:cs="Arial"/>
          <w:b/>
          <w:color w:val="A6A6A6" w:themeColor="background1" w:themeShade="A6"/>
          <w:szCs w:val="22"/>
          <w:lang w:val="en-US" w:eastAsia="en-US"/>
        </w:rPr>
        <w:t xml:space="preserve"> </w:t>
      </w:r>
      <w:proofErr w:type="spellStart"/>
      <w:r>
        <w:rPr>
          <w:rFonts w:eastAsia="Calibri" w:cs="Arial"/>
          <w:b/>
          <w:color w:val="A6A6A6" w:themeColor="background1" w:themeShade="A6"/>
          <w:szCs w:val="22"/>
          <w:lang w:val="en-US" w:eastAsia="en-US"/>
        </w:rPr>
        <w:t>zur</w:t>
      </w:r>
      <w:proofErr w:type="spellEnd"/>
      <w:r>
        <w:rPr>
          <w:rFonts w:eastAsia="Calibri" w:cs="Arial"/>
          <w:b/>
          <w:color w:val="A6A6A6" w:themeColor="background1" w:themeShade="A6"/>
          <w:szCs w:val="22"/>
          <w:lang w:val="en-US" w:eastAsia="en-US"/>
        </w:rPr>
        <w:t xml:space="preserve"> Info, </w:t>
      </w:r>
      <w:proofErr w:type="spellStart"/>
      <w:r>
        <w:rPr>
          <w:rFonts w:eastAsia="Calibri" w:cs="Arial"/>
          <w:b/>
          <w:color w:val="A6A6A6" w:themeColor="background1" w:themeShade="A6"/>
          <w:szCs w:val="22"/>
          <w:lang w:val="en-US" w:eastAsia="en-US"/>
        </w:rPr>
        <w:t>nicht</w:t>
      </w:r>
      <w:proofErr w:type="spellEnd"/>
      <w:r>
        <w:rPr>
          <w:rFonts w:eastAsia="Calibri" w:cs="Arial"/>
          <w:b/>
          <w:color w:val="A6A6A6" w:themeColor="background1" w:themeShade="A6"/>
          <w:szCs w:val="22"/>
          <w:lang w:val="en-US" w:eastAsia="en-US"/>
        </w:rPr>
        <w:t xml:space="preserve"> </w:t>
      </w:r>
      <w:proofErr w:type="spellStart"/>
      <w:r>
        <w:rPr>
          <w:rFonts w:eastAsia="Calibri" w:cs="Arial"/>
          <w:b/>
          <w:color w:val="A6A6A6" w:themeColor="background1" w:themeShade="A6"/>
          <w:szCs w:val="22"/>
          <w:lang w:val="en-US" w:eastAsia="en-US"/>
        </w:rPr>
        <w:t>übersetzen</w:t>
      </w:r>
      <w:proofErr w:type="spellEnd"/>
      <w:r w:rsidRPr="003A0235">
        <w:rPr>
          <w:rFonts w:eastAsia="Calibri" w:cs="Arial"/>
          <w:b/>
          <w:color w:val="A6A6A6" w:themeColor="background1" w:themeShade="A6"/>
          <w:szCs w:val="22"/>
          <w:lang w:val="en-US" w:eastAsia="en-US"/>
        </w:rPr>
        <w:t>))</w:t>
      </w:r>
      <w:r w:rsidR="004C678F">
        <w:rPr>
          <w:rFonts w:eastAsia="Calibri" w:cs="Arial"/>
          <w:b/>
          <w:color w:val="A6A6A6" w:themeColor="background1" w:themeShade="A6"/>
          <w:szCs w:val="22"/>
          <w:lang w:val="en-US" w:eastAsia="en-US"/>
        </w:rPr>
        <w:t xml:space="preserve"> </w:t>
      </w:r>
      <w:r w:rsidRPr="003A0235">
        <w:rPr>
          <w:rFonts w:eastAsia="Calibri" w:cs="Arial"/>
          <w:color w:val="A6A6A6" w:themeColor="background1" w:themeShade="A6"/>
          <w:szCs w:val="22"/>
          <w:lang w:val="en-US" w:eastAsia="en-US"/>
        </w:rPr>
        <w:t>Wouldn’t life be intolerable without contact with nature? Couldn’t the vast city disconnected from the natural world and impossible to leave, become a vast prison with potentially terrible consequences for both human society and the planet itself?</w:t>
      </w:r>
    </w:p>
    <w:p w:rsidR="00543359" w:rsidRPr="003A0235" w:rsidRDefault="00543359" w:rsidP="00543359">
      <w:pPr>
        <w:rPr>
          <w:rFonts w:asciiTheme="minorBidi" w:hAnsiTheme="minorBidi"/>
          <w:lang w:val="en-US"/>
        </w:rPr>
      </w:pPr>
    </w:p>
    <w:p w:rsidR="00BC2900" w:rsidRDefault="00BC2900" w:rsidP="00BC2900">
      <w:pPr>
        <w:suppressAutoHyphens/>
        <w:autoSpaceDN w:val="0"/>
        <w:spacing w:line="276" w:lineRule="auto"/>
        <w:jc w:val="both"/>
        <w:textAlignment w:val="baseline"/>
        <w:rPr>
          <w:rFonts w:eastAsia="Calibri" w:cs="Arial"/>
          <w:szCs w:val="22"/>
          <w:lang w:val="en-US" w:eastAsia="en-US"/>
        </w:rPr>
      </w:pPr>
    </w:p>
    <w:p w:rsidR="00BC2900" w:rsidRDefault="00BC2900" w:rsidP="00BC2900">
      <w:pPr>
        <w:suppressAutoHyphens/>
        <w:autoSpaceDN w:val="0"/>
        <w:spacing w:line="276" w:lineRule="auto"/>
        <w:jc w:val="both"/>
        <w:textAlignment w:val="baseline"/>
        <w:rPr>
          <w:rFonts w:eastAsia="Calibri" w:cs="Arial"/>
          <w:szCs w:val="22"/>
          <w:lang w:val="en-US" w:eastAsia="en-US"/>
        </w:rPr>
      </w:pPr>
    </w:p>
    <w:p w:rsidR="00BC2900" w:rsidRPr="00BC2900" w:rsidRDefault="00BC2900" w:rsidP="00BC2900">
      <w:pPr>
        <w:suppressAutoHyphens/>
        <w:autoSpaceDN w:val="0"/>
        <w:spacing w:line="276" w:lineRule="auto"/>
        <w:jc w:val="both"/>
        <w:textAlignment w:val="baseline"/>
        <w:rPr>
          <w:rFonts w:eastAsia="Calibri" w:cs="Arial"/>
          <w:szCs w:val="22"/>
          <w:lang w:val="en-US" w:eastAsia="en-US"/>
        </w:rPr>
      </w:pPr>
    </w:p>
    <w:p w:rsidR="00BC2900" w:rsidRPr="00BC2900" w:rsidRDefault="00BC2900" w:rsidP="00BC2900">
      <w:pPr>
        <w:suppressAutoHyphens/>
        <w:autoSpaceDN w:val="0"/>
        <w:spacing w:line="276" w:lineRule="auto"/>
        <w:jc w:val="both"/>
        <w:textAlignment w:val="baseline"/>
        <w:rPr>
          <w:rFonts w:eastAsia="Calibri" w:cs="Arial"/>
          <w:szCs w:val="22"/>
          <w:lang w:val="en-US" w:eastAsia="en-US"/>
        </w:rPr>
      </w:pPr>
      <w:r w:rsidRPr="00BC2900">
        <w:rPr>
          <w:rFonts w:eastAsia="Calibri" w:cs="Arial"/>
          <w:szCs w:val="22"/>
          <w:lang w:val="en-US" w:eastAsia="en-US"/>
        </w:rPr>
        <w:t>John Vidal is the Guardian’s environment editor.</w:t>
      </w:r>
    </w:p>
    <w:p w:rsidR="00BC2900" w:rsidRPr="00C95650" w:rsidRDefault="00BC2900" w:rsidP="00BC2900">
      <w:pPr>
        <w:suppressAutoHyphens/>
        <w:autoSpaceDN w:val="0"/>
        <w:spacing w:line="276" w:lineRule="auto"/>
        <w:jc w:val="both"/>
        <w:textAlignment w:val="baseline"/>
        <w:rPr>
          <w:rFonts w:eastAsia="Calibri" w:cs="Arial"/>
          <w:szCs w:val="22"/>
          <w:lang w:val="en-US" w:eastAsia="en-US"/>
        </w:rPr>
      </w:pPr>
      <w:r w:rsidRPr="00C95650">
        <w:rPr>
          <w:rFonts w:eastAsia="Calibri" w:cs="Arial"/>
          <w:szCs w:val="22"/>
          <w:lang w:val="en-US" w:eastAsia="en-US"/>
        </w:rPr>
        <w:t>July 2010 www.stwr.org</w:t>
      </w:r>
    </w:p>
    <w:p w:rsidR="00BC2900" w:rsidRPr="00C95650" w:rsidRDefault="00BC2900" w:rsidP="00BC2900">
      <w:pPr>
        <w:suppressAutoHyphens/>
        <w:autoSpaceDN w:val="0"/>
        <w:spacing w:line="276" w:lineRule="auto"/>
        <w:jc w:val="both"/>
        <w:textAlignment w:val="baseline"/>
        <w:rPr>
          <w:rFonts w:ascii="Calibri" w:eastAsia="Calibri" w:hAnsi="Calibri"/>
          <w:szCs w:val="22"/>
          <w:lang w:val="en-US" w:eastAsia="en-US"/>
        </w:rPr>
      </w:pPr>
    </w:p>
    <w:sectPr w:rsidR="00BC2900" w:rsidRPr="00C95650" w:rsidSect="007B4368">
      <w:headerReference w:type="default" r:id="rId8"/>
      <w:footerReference w:type="default" r:id="rId9"/>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00" w:rsidRDefault="008E5900" w:rsidP="00274FEA">
      <w:r>
        <w:separator/>
      </w:r>
    </w:p>
  </w:endnote>
  <w:endnote w:type="continuationSeparator" w:id="0">
    <w:p w:rsidR="008E5900" w:rsidRDefault="008E5900"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16" w:rsidRPr="00274FEA" w:rsidRDefault="00275216"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981951" w:rsidRPr="00981951">
      <w:rPr>
        <w:b/>
        <w:noProof/>
        <w:sz w:val="20"/>
        <w:szCs w:val="20"/>
        <w:lang w:val="de-DE"/>
      </w:rPr>
      <w:t>1</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981951" w:rsidRPr="00981951">
      <w:rPr>
        <w:b/>
        <w:noProof/>
        <w:sz w:val="20"/>
        <w:szCs w:val="20"/>
        <w:lang w:val="de-DE"/>
      </w:rPr>
      <w:t>2</w:t>
    </w:r>
    <w:r w:rsidRPr="00274FEA">
      <w:rPr>
        <w:b/>
        <w:sz w:val="20"/>
        <w:szCs w:val="20"/>
      </w:rPr>
      <w:fldChar w:fldCharType="end"/>
    </w:r>
  </w:p>
  <w:p w:rsidR="00275216" w:rsidRDefault="002752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00" w:rsidRDefault="008E5900" w:rsidP="00274FEA">
      <w:r>
        <w:separator/>
      </w:r>
    </w:p>
  </w:footnote>
  <w:footnote w:type="continuationSeparator" w:id="0">
    <w:p w:rsidR="008E5900" w:rsidRDefault="008E5900"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16" w:rsidRDefault="00275216"/>
  <w:p w:rsidR="00275216" w:rsidRDefault="00275216"/>
  <w:p w:rsidR="00275216" w:rsidRDefault="00275216" w:rsidP="007B4368">
    <w:r>
      <w:rPr>
        <w:noProof/>
        <w:lang w:eastAsia="de-CH"/>
      </w:rPr>
      <w:drawing>
        <wp:anchor distT="0" distB="0" distL="114300" distR="114300" simplePos="0" relativeHeight="251659264" behindDoc="1" locked="1" layoutInCell="1" allowOverlap="1" wp14:anchorId="4138D39B" wp14:editId="3C1ABC59">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216" w:rsidRDefault="00275216">
    <w:pPr>
      <w:pStyle w:val="Kopfzeile"/>
    </w:pPr>
  </w:p>
  <w:p w:rsidR="00275216" w:rsidRDefault="002752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11F15"/>
    <w:rsid w:val="000411D4"/>
    <w:rsid w:val="00045A95"/>
    <w:rsid w:val="000658B9"/>
    <w:rsid w:val="00095C95"/>
    <w:rsid w:val="000B0443"/>
    <w:rsid w:val="000F466C"/>
    <w:rsid w:val="00103CD7"/>
    <w:rsid w:val="00120F04"/>
    <w:rsid w:val="00146998"/>
    <w:rsid w:val="001717D4"/>
    <w:rsid w:val="001E6ED1"/>
    <w:rsid w:val="00213063"/>
    <w:rsid w:val="0022689D"/>
    <w:rsid w:val="00226C89"/>
    <w:rsid w:val="00235655"/>
    <w:rsid w:val="00274FEA"/>
    <w:rsid w:val="00275216"/>
    <w:rsid w:val="00276B96"/>
    <w:rsid w:val="002807AC"/>
    <w:rsid w:val="002D4446"/>
    <w:rsid w:val="002E05B8"/>
    <w:rsid w:val="002F5E45"/>
    <w:rsid w:val="00317829"/>
    <w:rsid w:val="00332C80"/>
    <w:rsid w:val="003533B0"/>
    <w:rsid w:val="003D68EE"/>
    <w:rsid w:val="003F4139"/>
    <w:rsid w:val="003F7E68"/>
    <w:rsid w:val="003F7EF7"/>
    <w:rsid w:val="00427135"/>
    <w:rsid w:val="004432BD"/>
    <w:rsid w:val="004714C0"/>
    <w:rsid w:val="00474A42"/>
    <w:rsid w:val="004B7533"/>
    <w:rsid w:val="004B7B29"/>
    <w:rsid w:val="004C5DC7"/>
    <w:rsid w:val="004C678F"/>
    <w:rsid w:val="004D0B60"/>
    <w:rsid w:val="004D6338"/>
    <w:rsid w:val="00506E10"/>
    <w:rsid w:val="00543359"/>
    <w:rsid w:val="0055596F"/>
    <w:rsid w:val="005600BE"/>
    <w:rsid w:val="005B0968"/>
    <w:rsid w:val="005B756A"/>
    <w:rsid w:val="005C6878"/>
    <w:rsid w:val="005E0144"/>
    <w:rsid w:val="005E4A8E"/>
    <w:rsid w:val="00612AD8"/>
    <w:rsid w:val="006220DA"/>
    <w:rsid w:val="00633F55"/>
    <w:rsid w:val="00642B1D"/>
    <w:rsid w:val="00687F2F"/>
    <w:rsid w:val="0069489A"/>
    <w:rsid w:val="006C331F"/>
    <w:rsid w:val="006D307F"/>
    <w:rsid w:val="006E5233"/>
    <w:rsid w:val="006E5344"/>
    <w:rsid w:val="00702C2B"/>
    <w:rsid w:val="00717256"/>
    <w:rsid w:val="007334CB"/>
    <w:rsid w:val="00736457"/>
    <w:rsid w:val="00741024"/>
    <w:rsid w:val="007410BA"/>
    <w:rsid w:val="0074668F"/>
    <w:rsid w:val="00746A1F"/>
    <w:rsid w:val="00796526"/>
    <w:rsid w:val="007B4368"/>
    <w:rsid w:val="007C0C03"/>
    <w:rsid w:val="007D346A"/>
    <w:rsid w:val="007D47E5"/>
    <w:rsid w:val="007E011C"/>
    <w:rsid w:val="008377A3"/>
    <w:rsid w:val="008456EA"/>
    <w:rsid w:val="00885602"/>
    <w:rsid w:val="00886796"/>
    <w:rsid w:val="00893821"/>
    <w:rsid w:val="00893B40"/>
    <w:rsid w:val="008C0C2D"/>
    <w:rsid w:val="008C63DC"/>
    <w:rsid w:val="008E5900"/>
    <w:rsid w:val="009528C9"/>
    <w:rsid w:val="009636CA"/>
    <w:rsid w:val="00981951"/>
    <w:rsid w:val="009A5503"/>
    <w:rsid w:val="009E6791"/>
    <w:rsid w:val="009E7DD2"/>
    <w:rsid w:val="00A0230A"/>
    <w:rsid w:val="00A03F9E"/>
    <w:rsid w:val="00A07D4D"/>
    <w:rsid w:val="00A5719F"/>
    <w:rsid w:val="00A6198E"/>
    <w:rsid w:val="00B145DC"/>
    <w:rsid w:val="00B21089"/>
    <w:rsid w:val="00B23315"/>
    <w:rsid w:val="00B35FF4"/>
    <w:rsid w:val="00B37A08"/>
    <w:rsid w:val="00B521FC"/>
    <w:rsid w:val="00B52541"/>
    <w:rsid w:val="00B6025B"/>
    <w:rsid w:val="00B82C6C"/>
    <w:rsid w:val="00B96E92"/>
    <w:rsid w:val="00BB7FC3"/>
    <w:rsid w:val="00BC2900"/>
    <w:rsid w:val="00BC56AE"/>
    <w:rsid w:val="00C512D6"/>
    <w:rsid w:val="00C702D0"/>
    <w:rsid w:val="00C935AA"/>
    <w:rsid w:val="00C95650"/>
    <w:rsid w:val="00CA04C6"/>
    <w:rsid w:val="00CA16B6"/>
    <w:rsid w:val="00CA7180"/>
    <w:rsid w:val="00D45B59"/>
    <w:rsid w:val="00D61670"/>
    <w:rsid w:val="00DB7179"/>
    <w:rsid w:val="00DC2782"/>
    <w:rsid w:val="00E352C7"/>
    <w:rsid w:val="00E359D0"/>
    <w:rsid w:val="00E52EA9"/>
    <w:rsid w:val="00E61A8D"/>
    <w:rsid w:val="00E928EF"/>
    <w:rsid w:val="00EA286F"/>
    <w:rsid w:val="00EB36B1"/>
    <w:rsid w:val="00ED7A0C"/>
    <w:rsid w:val="00ED7BB6"/>
    <w:rsid w:val="00EE1651"/>
    <w:rsid w:val="00EF72B3"/>
    <w:rsid w:val="00EF7A4A"/>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BB7295"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BB7295"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076815"/>
    <w:rsid w:val="0051007B"/>
    <w:rsid w:val="0064478A"/>
    <w:rsid w:val="00936B86"/>
    <w:rsid w:val="00B611E8"/>
    <w:rsid w:val="00BB7295"/>
    <w:rsid w:val="00BE3D20"/>
    <w:rsid w:val="00F52A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14</cp:revision>
  <cp:lastPrinted>2011-06-28T07:47:00Z</cp:lastPrinted>
  <dcterms:created xsi:type="dcterms:W3CDTF">2011-06-28T07:22:00Z</dcterms:created>
  <dcterms:modified xsi:type="dcterms:W3CDTF">2012-03-27T09:09:00Z</dcterms:modified>
</cp:coreProperties>
</file>